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AE" w:rsidRPr="003162AE" w:rsidRDefault="003162AE" w:rsidP="003162A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Cs w:val="24"/>
          <w:lang w:eastAsia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551"/>
      </w:tblGrid>
      <w:tr w:rsidR="003162AE" w:rsidRPr="003162AE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12551" w:type="dxa"/>
          </w:tcPr>
          <w:p w:rsidR="003162AE" w:rsidRPr="003162AE" w:rsidRDefault="003162AE" w:rsidP="003162A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3162AE">
              <w:rPr>
                <w:rFonts w:eastAsiaTheme="minorHAnsi"/>
                <w:b/>
                <w:color w:val="000000"/>
                <w:sz w:val="20"/>
                <w:lang w:eastAsia="en-US"/>
              </w:rPr>
              <w:t xml:space="preserve"> </w:t>
            </w:r>
            <w:r w:rsidR="002476E0" w:rsidRPr="00774FA2">
              <w:rPr>
                <w:rFonts w:eastAsiaTheme="minorHAnsi"/>
                <w:b/>
                <w:color w:val="000000"/>
                <w:sz w:val="20"/>
                <w:lang w:eastAsia="en-US"/>
              </w:rPr>
              <w:t xml:space="preserve">2020 m. </w:t>
            </w:r>
            <w:proofErr w:type="spellStart"/>
            <w:r w:rsidRPr="00774FA2">
              <w:rPr>
                <w:rFonts w:eastAsiaTheme="minorHAnsi"/>
                <w:b/>
                <w:color w:val="000000"/>
                <w:sz w:val="20"/>
                <w:lang w:eastAsia="en-US"/>
              </w:rPr>
              <w:t>VšĮ</w:t>
            </w:r>
            <w:proofErr w:type="spellEnd"/>
            <w:r w:rsidRPr="00774FA2">
              <w:rPr>
                <w:rFonts w:eastAsiaTheme="minorHAnsi"/>
                <w:b/>
                <w:color w:val="000000"/>
                <w:sz w:val="20"/>
                <w:lang w:eastAsia="en-US"/>
              </w:rPr>
              <w:t xml:space="preserve"> </w:t>
            </w:r>
            <w:r w:rsidRPr="003162A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Klaipėdos </w:t>
            </w:r>
            <w:r w:rsidRPr="00774FA2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universiteto</w:t>
            </w:r>
            <w:r w:rsidRPr="003162A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 motyvuoti sprendimai neatlikti pirkimo, naudojantis CPO p</w:t>
            </w:r>
            <w:r w:rsidR="00774FA2" w:rsidRPr="00774FA2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aslaugomis (VPĮ 82 straipsnio 2 </w:t>
            </w:r>
            <w:r w:rsidRPr="003162A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dalis)</w:t>
            </w:r>
          </w:p>
        </w:tc>
      </w:tr>
    </w:tbl>
    <w:p w:rsidR="00FF7146" w:rsidRPr="003162AE" w:rsidRDefault="00FF7146" w:rsidP="00FF7146">
      <w:pPr>
        <w:pStyle w:val="Default"/>
        <w:rPr>
          <w:b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1560"/>
        <w:gridCol w:w="5103"/>
        <w:gridCol w:w="4397"/>
      </w:tblGrid>
      <w:tr w:rsidR="00FF7146" w:rsidRPr="000C0C74" w:rsidTr="00FF7146">
        <w:trPr>
          <w:trHeight w:val="156"/>
        </w:trPr>
        <w:tc>
          <w:tcPr>
            <w:tcW w:w="534" w:type="dxa"/>
          </w:tcPr>
          <w:p w:rsidR="00FF7146" w:rsidRPr="000C0C74" w:rsidRDefault="00FF7146">
            <w:pPr>
              <w:pStyle w:val="Default"/>
              <w:rPr>
                <w:sz w:val="20"/>
                <w:szCs w:val="20"/>
              </w:rPr>
            </w:pPr>
            <w:r w:rsidRPr="000C0C74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976" w:type="dxa"/>
          </w:tcPr>
          <w:p w:rsidR="00FF7146" w:rsidRPr="000C0C74" w:rsidRDefault="00FF7146">
            <w:pPr>
              <w:pStyle w:val="Default"/>
              <w:rPr>
                <w:sz w:val="20"/>
                <w:szCs w:val="20"/>
              </w:rPr>
            </w:pPr>
            <w:r w:rsidRPr="000C0C74">
              <w:rPr>
                <w:b/>
                <w:bCs/>
                <w:sz w:val="20"/>
                <w:szCs w:val="20"/>
              </w:rPr>
              <w:t>Pirkimo būdas</w:t>
            </w:r>
          </w:p>
        </w:tc>
        <w:tc>
          <w:tcPr>
            <w:tcW w:w="1560" w:type="dxa"/>
          </w:tcPr>
          <w:p w:rsidR="00FF7146" w:rsidRPr="000C0C74" w:rsidRDefault="00FF7146">
            <w:pPr>
              <w:pStyle w:val="Default"/>
              <w:rPr>
                <w:sz w:val="20"/>
                <w:szCs w:val="20"/>
              </w:rPr>
            </w:pPr>
            <w:r w:rsidRPr="000C0C74">
              <w:rPr>
                <w:b/>
                <w:bCs/>
                <w:sz w:val="20"/>
                <w:szCs w:val="20"/>
              </w:rPr>
              <w:t>CVP IS Nr.</w:t>
            </w:r>
          </w:p>
        </w:tc>
        <w:tc>
          <w:tcPr>
            <w:tcW w:w="5103" w:type="dxa"/>
          </w:tcPr>
          <w:p w:rsidR="00FF7146" w:rsidRPr="000C0C74" w:rsidRDefault="00FF7146">
            <w:pPr>
              <w:pStyle w:val="Default"/>
              <w:rPr>
                <w:sz w:val="20"/>
                <w:szCs w:val="20"/>
              </w:rPr>
            </w:pPr>
            <w:r w:rsidRPr="000C0C74">
              <w:rPr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4397" w:type="dxa"/>
          </w:tcPr>
          <w:p w:rsidR="00FF7146" w:rsidRPr="000C0C74" w:rsidRDefault="00FF7146">
            <w:pPr>
              <w:pStyle w:val="Default"/>
              <w:rPr>
                <w:sz w:val="20"/>
                <w:szCs w:val="20"/>
              </w:rPr>
            </w:pPr>
            <w:r w:rsidRPr="000C0C74">
              <w:rPr>
                <w:b/>
                <w:bCs/>
                <w:sz w:val="20"/>
                <w:szCs w:val="20"/>
              </w:rPr>
              <w:t>Motyvas neatlikti pirkimo naudojantis CPO paslaugomis</w:t>
            </w:r>
          </w:p>
        </w:tc>
      </w:tr>
      <w:tr w:rsidR="00FF7146" w:rsidRPr="001B29F9" w:rsidTr="00FF7146">
        <w:trPr>
          <w:trHeight w:val="175"/>
        </w:trPr>
        <w:tc>
          <w:tcPr>
            <w:tcW w:w="534" w:type="dxa"/>
          </w:tcPr>
          <w:p w:rsidR="00FF7146" w:rsidRPr="001B29F9" w:rsidRDefault="00A86650">
            <w:pPr>
              <w:pStyle w:val="Default"/>
              <w:rPr>
                <w:sz w:val="20"/>
                <w:szCs w:val="20"/>
              </w:rPr>
            </w:pPr>
            <w:r w:rsidRPr="001B29F9">
              <w:rPr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:rsidR="00FF7146" w:rsidRPr="001B29F9" w:rsidRDefault="00FF7146">
            <w:pPr>
              <w:pStyle w:val="Default"/>
              <w:rPr>
                <w:sz w:val="20"/>
                <w:szCs w:val="20"/>
              </w:rPr>
            </w:pPr>
            <w:r w:rsidRPr="001B29F9">
              <w:rPr>
                <w:sz w:val="20"/>
                <w:szCs w:val="20"/>
              </w:rPr>
              <w:t>Mažos vertės pirkimas</w:t>
            </w:r>
          </w:p>
        </w:tc>
        <w:tc>
          <w:tcPr>
            <w:tcW w:w="1560" w:type="dxa"/>
          </w:tcPr>
          <w:p w:rsidR="00FF7146" w:rsidRPr="001B29F9" w:rsidRDefault="00774FA2">
            <w:pPr>
              <w:pStyle w:val="Default"/>
              <w:rPr>
                <w:sz w:val="20"/>
                <w:szCs w:val="20"/>
              </w:rPr>
            </w:pPr>
            <w:hyperlink r:id="rId6" w:history="1">
              <w:r w:rsidR="00D73EC8" w:rsidRPr="001B29F9">
                <w:rPr>
                  <w:rStyle w:val="Hipersaitas"/>
                  <w:color w:val="auto"/>
                  <w:sz w:val="20"/>
                  <w:szCs w:val="20"/>
                  <w:u w:val="none"/>
                </w:rPr>
                <w:t>474988</w:t>
              </w:r>
            </w:hyperlink>
            <w:r w:rsidR="00D73EC8" w:rsidRPr="001B29F9">
              <w:rPr>
                <w:color w:val="auto"/>
                <w:sz w:val="20"/>
                <w:szCs w:val="20"/>
              </w:rPr>
              <w:t>/</w:t>
            </w:r>
            <w:r w:rsidR="00D73EC8" w:rsidRPr="001B29F9">
              <w:rPr>
                <w:color w:val="auto"/>
                <w:sz w:val="20"/>
                <w:szCs w:val="20"/>
                <w:shd w:val="clear" w:color="auto" w:fill="FFFFFF"/>
              </w:rPr>
              <w:t>488585</w:t>
            </w:r>
          </w:p>
        </w:tc>
        <w:tc>
          <w:tcPr>
            <w:tcW w:w="5103" w:type="dxa"/>
          </w:tcPr>
          <w:p w:rsidR="00A141A6" w:rsidRPr="003162AE" w:rsidRDefault="00A141A6" w:rsidP="00A141A6">
            <w:pPr>
              <w:pStyle w:val="Antrat3"/>
              <w:numPr>
                <w:ilvl w:val="0"/>
                <w:numId w:val="0"/>
              </w:numPr>
              <w:tabs>
                <w:tab w:val="left" w:pos="1296"/>
              </w:tabs>
              <w:jc w:val="left"/>
              <w:rPr>
                <w:caps/>
                <w:sz w:val="20"/>
              </w:rPr>
            </w:pPr>
            <w:r w:rsidRPr="003162AE">
              <w:rPr>
                <w:sz w:val="20"/>
              </w:rPr>
              <w:t>Klaipėdos universiteto gamybos, pramonės paskirties pastato – dirbtuvių (unikalus kodas 2199-3024-5016), Herkaus Manto g. 84, Klaipėdoje, paskirties ke</w:t>
            </w:r>
            <w:r w:rsidR="00774FA2">
              <w:rPr>
                <w:sz w:val="20"/>
              </w:rPr>
              <w:t>i</w:t>
            </w:r>
            <w:r w:rsidRPr="003162AE">
              <w:rPr>
                <w:sz w:val="20"/>
              </w:rPr>
              <w:t xml:space="preserve">timo į mokslo ir kapitalinio remonto, pritaikant </w:t>
            </w:r>
            <w:r w:rsidR="00D73EC8" w:rsidRPr="003162AE">
              <w:rPr>
                <w:sz w:val="20"/>
              </w:rPr>
              <w:t>K</w:t>
            </w:r>
            <w:r w:rsidRPr="003162AE">
              <w:rPr>
                <w:sz w:val="20"/>
              </w:rPr>
              <w:t>laipėdos universiteto jūrinio STEAM atviros prieigos centro reikmėms, projektavimo ir projekto vykdymo priežiūros paslaugos</w:t>
            </w:r>
          </w:p>
          <w:p w:rsidR="00FF7146" w:rsidRPr="003162AE" w:rsidRDefault="00FF714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397" w:type="dxa"/>
          </w:tcPr>
          <w:p w:rsidR="001B29F9" w:rsidRPr="001B29F9" w:rsidRDefault="001B29F9" w:rsidP="001B29F9">
            <w:pPr>
              <w:pStyle w:val="Antrat3"/>
              <w:numPr>
                <w:ilvl w:val="0"/>
                <w:numId w:val="0"/>
              </w:numPr>
              <w:tabs>
                <w:tab w:val="left" w:pos="1296"/>
              </w:tabs>
              <w:rPr>
                <w:caps/>
                <w:sz w:val="20"/>
              </w:rPr>
            </w:pPr>
            <w:r w:rsidRPr="001B29F9">
              <w:rPr>
                <w:sz w:val="20"/>
              </w:rPr>
              <w:t>Siekiama įsigyti projektavimo ir projekto vykdymo priežiūros paslaugas, esančias</w:t>
            </w:r>
          </w:p>
          <w:p w:rsidR="00FF7146" w:rsidRPr="001B29F9" w:rsidRDefault="001B29F9" w:rsidP="001B29F9">
            <w:pPr>
              <w:pStyle w:val="Default"/>
              <w:jc w:val="both"/>
              <w:rPr>
                <w:sz w:val="20"/>
                <w:szCs w:val="20"/>
              </w:rPr>
            </w:pPr>
            <w:r w:rsidRPr="001B29F9">
              <w:rPr>
                <w:sz w:val="20"/>
                <w:szCs w:val="20"/>
              </w:rPr>
              <w:t xml:space="preserve"> kultūros paveldo teritorijoje. Centrinė perkančioji organizacija siūlo įsigyti projektavimo ir projekto vykdymo priežiūros paslaugas, tačiau Centrinės perkančiosios organizacijos kataloge siūlomos statinio statybos techninės priežiūros paslaugos neapima , projektavimo ir projekto vykdymo priežiūros paslaugų, esančių kultūros paveldo objekt</w:t>
            </w:r>
            <w:r w:rsidRPr="001B29F9">
              <w:rPr>
                <w:sz w:val="20"/>
                <w:szCs w:val="20"/>
              </w:rPr>
              <w:t>ų</w:t>
            </w:r>
            <w:r w:rsidRPr="001B29F9">
              <w:rPr>
                <w:sz w:val="20"/>
                <w:szCs w:val="20"/>
              </w:rPr>
              <w:t xml:space="preserve"> teritorijoje.</w:t>
            </w:r>
          </w:p>
        </w:tc>
      </w:tr>
      <w:tr w:rsidR="001B29F9" w:rsidRPr="001B29F9" w:rsidTr="00FF7146">
        <w:trPr>
          <w:trHeight w:val="685"/>
        </w:trPr>
        <w:tc>
          <w:tcPr>
            <w:tcW w:w="534" w:type="dxa"/>
          </w:tcPr>
          <w:p w:rsidR="001B29F9" w:rsidRPr="001B29F9" w:rsidRDefault="003162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:rsidR="001B29F9" w:rsidRPr="001B29F9" w:rsidRDefault="003162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B29F9" w:rsidRPr="001B29F9">
              <w:rPr>
                <w:sz w:val="20"/>
                <w:szCs w:val="20"/>
              </w:rPr>
              <w:t>upaprastintas atviras konkursas</w:t>
            </w:r>
          </w:p>
        </w:tc>
        <w:tc>
          <w:tcPr>
            <w:tcW w:w="1560" w:type="dxa"/>
          </w:tcPr>
          <w:p w:rsidR="001B29F9" w:rsidRPr="001B29F9" w:rsidRDefault="001B29F9">
            <w:pPr>
              <w:pStyle w:val="Default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1B29F9">
              <w:rPr>
                <w:color w:val="333333"/>
                <w:sz w:val="20"/>
                <w:szCs w:val="20"/>
                <w:shd w:val="clear" w:color="auto" w:fill="FFFFFF"/>
              </w:rPr>
              <w:t>487660</w:t>
            </w:r>
          </w:p>
        </w:tc>
        <w:tc>
          <w:tcPr>
            <w:tcW w:w="5103" w:type="dxa"/>
          </w:tcPr>
          <w:p w:rsidR="001B29F9" w:rsidRPr="003162AE" w:rsidRDefault="001B29F9" w:rsidP="001B29F9">
            <w:pPr>
              <w:pStyle w:val="Sraopastraipa"/>
              <w:tabs>
                <w:tab w:val="left" w:pos="709"/>
              </w:tabs>
              <w:suppressAutoHyphens/>
              <w:autoSpaceDN w:val="0"/>
              <w:ind w:left="142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162AE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Klaipėdos Universiteto Socialinių ir Humanitarinių mokslų fakulteto Infrastruktūros kon</w:t>
            </w:r>
            <w:r w:rsidRPr="003162AE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centravimas ir modernizavimas“ </w:t>
            </w:r>
            <w:r w:rsidRPr="00316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numato įsigyti </w:t>
            </w:r>
            <w:proofErr w:type="spellStart"/>
            <w:r w:rsidRPr="003162A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projektavimo</w:t>
            </w:r>
            <w:proofErr w:type="spellEnd"/>
            <w:r w:rsidRPr="003162A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2A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ir</w:t>
            </w:r>
            <w:proofErr w:type="spellEnd"/>
            <w:r w:rsidRPr="003162A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2A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tyrin</w:t>
            </w:r>
            <w:proofErr w:type="spellEnd"/>
            <w:r w:rsidRPr="003162AE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ėjimo </w:t>
            </w:r>
            <w:r w:rsidRPr="00316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paslaugas.</w:t>
            </w:r>
          </w:p>
          <w:p w:rsidR="001B29F9" w:rsidRPr="003162AE" w:rsidRDefault="001B29F9" w:rsidP="001B29F9">
            <w:pPr>
              <w:jc w:val="both"/>
              <w:outlineLvl w:val="1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4397" w:type="dxa"/>
          </w:tcPr>
          <w:p w:rsidR="001B29F9" w:rsidRPr="001B29F9" w:rsidRDefault="001B29F9" w:rsidP="001B29F9">
            <w:pPr>
              <w:pStyle w:val="Antrat3"/>
              <w:numPr>
                <w:ilvl w:val="0"/>
                <w:numId w:val="0"/>
              </w:numPr>
              <w:tabs>
                <w:tab w:val="left" w:pos="1296"/>
              </w:tabs>
              <w:jc w:val="left"/>
              <w:rPr>
                <w:caps/>
                <w:sz w:val="20"/>
              </w:rPr>
            </w:pPr>
            <w:r w:rsidRPr="001B29F9">
              <w:rPr>
                <w:sz w:val="20"/>
              </w:rPr>
              <w:t>Siekiama įsigyti projektavimo ir projekto vykdymo priežiūros paslaugas, esančias</w:t>
            </w:r>
          </w:p>
          <w:p w:rsidR="001B29F9" w:rsidRPr="001B29F9" w:rsidRDefault="001B29F9" w:rsidP="001B29F9">
            <w:pPr>
              <w:pStyle w:val="Default"/>
              <w:rPr>
                <w:sz w:val="20"/>
                <w:szCs w:val="20"/>
              </w:rPr>
            </w:pPr>
            <w:r w:rsidRPr="001B29F9">
              <w:rPr>
                <w:sz w:val="20"/>
                <w:szCs w:val="20"/>
              </w:rPr>
              <w:t xml:space="preserve"> kultūros paveldo objekte. Atitinkamai paslaugų teikėjams turės būti keliami reikalavimai turėti kvalifikaciją leidžiančią teikti paslaugas ypatinguose statiniuose, esančiuose kultūros paveldo </w:t>
            </w:r>
            <w:r w:rsidRPr="001B29F9">
              <w:rPr>
                <w:sz w:val="20"/>
                <w:szCs w:val="20"/>
              </w:rPr>
              <w:t>teritorijoje</w:t>
            </w:r>
            <w:r w:rsidRPr="001B29F9">
              <w:rPr>
                <w:sz w:val="20"/>
                <w:szCs w:val="20"/>
              </w:rPr>
              <w:t>. Centrinė perkančioji organizacija siūlo įsigyti projektavimo ir projekto vykdymo priežiūros paslaugas, tačiau Centrinės perkančiosios organizacijos kataloge siūlomos statinio projektavimo ir statybos techninės priežiūros paslaugos neapima , projektavimo ir projekto vykdymo priežiūros paslaugų, esančių kultūros paveldo objekte.</w:t>
            </w:r>
          </w:p>
        </w:tc>
      </w:tr>
      <w:tr w:rsidR="00FF7146" w:rsidRPr="001B29F9" w:rsidTr="00FF7146">
        <w:trPr>
          <w:trHeight w:val="685"/>
        </w:trPr>
        <w:tc>
          <w:tcPr>
            <w:tcW w:w="534" w:type="dxa"/>
          </w:tcPr>
          <w:p w:rsidR="00FF7146" w:rsidRPr="001B29F9" w:rsidRDefault="003162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C0C74" w:rsidRPr="001B29F9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FF7146" w:rsidRPr="001B29F9" w:rsidRDefault="00FF7146">
            <w:pPr>
              <w:pStyle w:val="Default"/>
              <w:rPr>
                <w:sz w:val="20"/>
                <w:szCs w:val="20"/>
              </w:rPr>
            </w:pPr>
            <w:r w:rsidRPr="001B29F9">
              <w:rPr>
                <w:sz w:val="20"/>
                <w:szCs w:val="20"/>
              </w:rPr>
              <w:t>Supaprastintas atviras konkursas</w:t>
            </w:r>
          </w:p>
        </w:tc>
        <w:tc>
          <w:tcPr>
            <w:tcW w:w="1560" w:type="dxa"/>
          </w:tcPr>
          <w:p w:rsidR="00FF7146" w:rsidRPr="001B29F9" w:rsidRDefault="00A86650">
            <w:pPr>
              <w:pStyle w:val="Default"/>
              <w:rPr>
                <w:sz w:val="20"/>
                <w:szCs w:val="20"/>
              </w:rPr>
            </w:pPr>
            <w:r w:rsidRPr="001B29F9">
              <w:rPr>
                <w:color w:val="333333"/>
                <w:sz w:val="20"/>
                <w:szCs w:val="20"/>
                <w:shd w:val="clear" w:color="auto" w:fill="FFFFFF"/>
              </w:rPr>
              <w:t>504154</w:t>
            </w:r>
            <w:r w:rsidRPr="001B29F9">
              <w:rPr>
                <w:color w:val="333333"/>
                <w:sz w:val="20"/>
                <w:szCs w:val="20"/>
                <w:shd w:val="clear" w:color="auto" w:fill="FFFFFF"/>
              </w:rPr>
              <w:t xml:space="preserve">/ </w:t>
            </w:r>
            <w:r w:rsidRPr="001B29F9">
              <w:rPr>
                <w:color w:val="333333"/>
                <w:sz w:val="20"/>
                <w:szCs w:val="20"/>
                <w:shd w:val="clear" w:color="auto" w:fill="FFFFFF"/>
              </w:rPr>
              <w:t>508217</w:t>
            </w:r>
          </w:p>
        </w:tc>
        <w:tc>
          <w:tcPr>
            <w:tcW w:w="5103" w:type="dxa"/>
          </w:tcPr>
          <w:p w:rsidR="00A86650" w:rsidRPr="003162AE" w:rsidRDefault="00A86650" w:rsidP="00A86650">
            <w:pPr>
              <w:jc w:val="both"/>
              <w:outlineLvl w:val="1"/>
              <w:rPr>
                <w:sz w:val="20"/>
              </w:rPr>
            </w:pPr>
            <w:r w:rsidRPr="003162AE">
              <w:rPr>
                <w:sz w:val="20"/>
              </w:rPr>
              <w:t xml:space="preserve">Medicininė įranga : </w:t>
            </w:r>
            <w:bookmarkStart w:id="1" w:name="_Hlk46151373"/>
          </w:p>
          <w:p w:rsidR="00A86650" w:rsidRPr="003162AE" w:rsidRDefault="00774FA2" w:rsidP="003162AE">
            <w:pPr>
              <w:outlineLvl w:val="1"/>
              <w:rPr>
                <w:bCs/>
                <w:sz w:val="20"/>
              </w:rPr>
            </w:pPr>
            <w:r>
              <w:rPr>
                <w:bCs/>
                <w:sz w:val="20"/>
              </w:rPr>
              <w:t>S</w:t>
            </w:r>
            <w:r w:rsidR="00A86650" w:rsidRPr="003162AE">
              <w:rPr>
                <w:color w:val="222222"/>
                <w:sz w:val="20"/>
              </w:rPr>
              <w:t>imuliacijos kostiumas</w:t>
            </w:r>
            <w:r w:rsidR="00A86650" w:rsidRPr="003162AE">
              <w:rPr>
                <w:bCs/>
                <w:sz w:val="20"/>
              </w:rPr>
              <w:t>;</w:t>
            </w:r>
          </w:p>
          <w:p w:rsidR="00A86650" w:rsidRPr="003162AE" w:rsidRDefault="00A86650" w:rsidP="003162AE">
            <w:pPr>
              <w:outlineLvl w:val="1"/>
              <w:rPr>
                <w:bCs/>
                <w:sz w:val="20"/>
              </w:rPr>
            </w:pPr>
            <w:r w:rsidRPr="003162AE">
              <w:rPr>
                <w:sz w:val="20"/>
              </w:rPr>
              <w:t>Kompiuterinė standartizuota pusiausvyros įvertinimo ir lavinimo sistema</w:t>
            </w:r>
            <w:r w:rsidRPr="003162AE">
              <w:rPr>
                <w:sz w:val="20"/>
                <w:lang w:eastAsia="lt-LT"/>
              </w:rPr>
              <w:t>;</w:t>
            </w:r>
          </w:p>
          <w:p w:rsidR="00A86650" w:rsidRPr="003162AE" w:rsidRDefault="00A86650" w:rsidP="003162AE">
            <w:pPr>
              <w:tabs>
                <w:tab w:val="left" w:pos="5955"/>
              </w:tabs>
              <w:outlineLvl w:val="1"/>
              <w:rPr>
                <w:bCs/>
                <w:sz w:val="20"/>
              </w:rPr>
            </w:pPr>
            <w:r w:rsidRPr="003162AE">
              <w:rPr>
                <w:rFonts w:eastAsia="Calibri"/>
                <w:sz w:val="20"/>
              </w:rPr>
              <w:t xml:space="preserve">Sistema </w:t>
            </w:r>
            <w:proofErr w:type="spellStart"/>
            <w:r w:rsidRPr="003162AE">
              <w:rPr>
                <w:rFonts w:eastAsia="Calibri"/>
                <w:sz w:val="20"/>
              </w:rPr>
              <w:t>neuromotoriniam</w:t>
            </w:r>
            <w:proofErr w:type="spellEnd"/>
            <w:r w:rsidRPr="003162AE">
              <w:rPr>
                <w:rFonts w:eastAsia="Calibri"/>
                <w:sz w:val="20"/>
              </w:rPr>
              <w:t xml:space="preserve">, </w:t>
            </w:r>
            <w:proofErr w:type="spellStart"/>
            <w:r w:rsidRPr="003162AE">
              <w:rPr>
                <w:rFonts w:eastAsia="Calibri"/>
                <w:sz w:val="20"/>
              </w:rPr>
              <w:t>elektrofiziologiniam</w:t>
            </w:r>
            <w:proofErr w:type="spellEnd"/>
            <w:r w:rsidRPr="003162AE">
              <w:rPr>
                <w:rFonts w:eastAsia="Calibri"/>
                <w:sz w:val="20"/>
              </w:rPr>
              <w:t xml:space="preserve">, </w:t>
            </w:r>
            <w:proofErr w:type="spellStart"/>
            <w:r w:rsidRPr="003162AE">
              <w:rPr>
                <w:rFonts w:eastAsia="Calibri"/>
                <w:sz w:val="20"/>
              </w:rPr>
              <w:t>biomechaniniam</w:t>
            </w:r>
            <w:proofErr w:type="spellEnd"/>
            <w:r w:rsidRPr="003162AE">
              <w:rPr>
                <w:rFonts w:eastAsia="Calibri"/>
                <w:sz w:val="20"/>
              </w:rPr>
              <w:t xml:space="preserve"> įvertinimui, reabilitacijos efektyvumo vertinimui</w:t>
            </w:r>
            <w:r w:rsidRPr="003162AE">
              <w:rPr>
                <w:bCs/>
                <w:sz w:val="20"/>
              </w:rPr>
              <w:t>;</w:t>
            </w:r>
            <w:r w:rsidRPr="003162AE">
              <w:rPr>
                <w:bCs/>
                <w:sz w:val="20"/>
              </w:rPr>
              <w:tab/>
            </w:r>
          </w:p>
          <w:p w:rsidR="00A86650" w:rsidRPr="003162AE" w:rsidRDefault="00A86650" w:rsidP="003162AE">
            <w:pPr>
              <w:outlineLvl w:val="1"/>
              <w:rPr>
                <w:bCs/>
                <w:sz w:val="20"/>
              </w:rPr>
            </w:pPr>
            <w:r w:rsidRPr="003162AE">
              <w:rPr>
                <w:sz w:val="20"/>
              </w:rPr>
              <w:t xml:space="preserve">Mobili eisenos analizės sistema ir </w:t>
            </w:r>
            <w:proofErr w:type="spellStart"/>
            <w:r w:rsidRPr="003162AE">
              <w:rPr>
                <w:sz w:val="20"/>
              </w:rPr>
              <w:t>pedografas</w:t>
            </w:r>
            <w:proofErr w:type="spellEnd"/>
            <w:r w:rsidRPr="003162AE">
              <w:rPr>
                <w:bCs/>
                <w:sz w:val="20"/>
              </w:rPr>
              <w:t>;</w:t>
            </w:r>
          </w:p>
          <w:p w:rsidR="00A86650" w:rsidRPr="003162AE" w:rsidRDefault="00A86650" w:rsidP="003162AE">
            <w:pPr>
              <w:outlineLvl w:val="1"/>
              <w:rPr>
                <w:bCs/>
                <w:caps/>
                <w:sz w:val="20"/>
              </w:rPr>
            </w:pPr>
            <w:r w:rsidRPr="003162AE">
              <w:rPr>
                <w:bCs/>
                <w:sz w:val="20"/>
              </w:rPr>
              <w:t xml:space="preserve">Skaitmeninis </w:t>
            </w:r>
            <w:proofErr w:type="spellStart"/>
            <w:r w:rsidRPr="003162AE">
              <w:rPr>
                <w:bCs/>
                <w:sz w:val="20"/>
              </w:rPr>
              <w:t>izometrinės</w:t>
            </w:r>
            <w:proofErr w:type="spellEnd"/>
            <w:r w:rsidRPr="003162AE">
              <w:rPr>
                <w:bCs/>
                <w:sz w:val="20"/>
              </w:rPr>
              <w:t xml:space="preserve"> raumenų jėgos dinamometras</w:t>
            </w:r>
            <w:r w:rsidRPr="003162AE">
              <w:rPr>
                <w:bCs/>
                <w:caps/>
                <w:sz w:val="20"/>
              </w:rPr>
              <w:t>;</w:t>
            </w:r>
            <w:bookmarkEnd w:id="1"/>
          </w:p>
          <w:p w:rsidR="00FF7146" w:rsidRPr="003162AE" w:rsidRDefault="00FF714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397" w:type="dxa"/>
          </w:tcPr>
          <w:p w:rsidR="00FF7146" w:rsidRPr="001B29F9" w:rsidRDefault="00A86650">
            <w:pPr>
              <w:pStyle w:val="Default"/>
              <w:rPr>
                <w:sz w:val="20"/>
                <w:szCs w:val="20"/>
              </w:rPr>
            </w:pPr>
            <w:r w:rsidRPr="001B29F9">
              <w:rPr>
                <w:sz w:val="20"/>
                <w:szCs w:val="20"/>
              </w:rPr>
              <w:t>CPO kataloge perkamų prekių šiuo metu nėra siūloma</w:t>
            </w:r>
          </w:p>
        </w:tc>
      </w:tr>
      <w:tr w:rsidR="000C0C74" w:rsidRPr="000C0C74" w:rsidTr="00FF7146">
        <w:trPr>
          <w:trHeight w:val="685"/>
        </w:trPr>
        <w:tc>
          <w:tcPr>
            <w:tcW w:w="534" w:type="dxa"/>
          </w:tcPr>
          <w:p w:rsidR="000C0C74" w:rsidRPr="001B29F9" w:rsidRDefault="003162AE">
            <w:pPr>
              <w:pStyle w:val="Default"/>
            </w:pPr>
            <w:r>
              <w:lastRenderedPageBreak/>
              <w:t>4</w:t>
            </w:r>
            <w:r w:rsidR="000C0C74" w:rsidRPr="001B29F9">
              <w:t>.</w:t>
            </w:r>
          </w:p>
        </w:tc>
        <w:tc>
          <w:tcPr>
            <w:tcW w:w="2976" w:type="dxa"/>
          </w:tcPr>
          <w:p w:rsidR="000C0C74" w:rsidRPr="001B29F9" w:rsidRDefault="000C0C74">
            <w:pPr>
              <w:pStyle w:val="Default"/>
            </w:pPr>
            <w:r w:rsidRPr="001B29F9">
              <w:t>Supaprastintas atviras konkursas</w:t>
            </w:r>
          </w:p>
        </w:tc>
        <w:tc>
          <w:tcPr>
            <w:tcW w:w="1560" w:type="dxa"/>
          </w:tcPr>
          <w:p w:rsidR="000C0C74" w:rsidRPr="001B29F9" w:rsidRDefault="000C0C74">
            <w:pPr>
              <w:pStyle w:val="Default"/>
              <w:rPr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</w:tcPr>
          <w:p w:rsidR="000C0C74" w:rsidRPr="003162AE" w:rsidRDefault="000C0C74" w:rsidP="00A86650">
            <w:pPr>
              <w:jc w:val="both"/>
              <w:outlineLvl w:val="1"/>
              <w:rPr>
                <w:sz w:val="20"/>
              </w:rPr>
            </w:pPr>
            <w:r w:rsidRPr="003162AE">
              <w:rPr>
                <w:bCs/>
                <w:color w:val="333333"/>
                <w:sz w:val="20"/>
                <w:shd w:val="clear" w:color="auto" w:fill="FFFFFF"/>
              </w:rPr>
              <w:t xml:space="preserve">Medicininė įranga - rentgeno įgūdžių pozicionavimo </w:t>
            </w:r>
            <w:proofErr w:type="spellStart"/>
            <w:r w:rsidRPr="003162AE">
              <w:rPr>
                <w:bCs/>
                <w:color w:val="333333"/>
                <w:sz w:val="20"/>
                <w:shd w:val="clear" w:color="auto" w:fill="FFFFFF"/>
              </w:rPr>
              <w:t>manikenai</w:t>
            </w:r>
            <w:proofErr w:type="spellEnd"/>
            <w:r w:rsidRPr="003162AE">
              <w:rPr>
                <w:bCs/>
                <w:color w:val="333333"/>
                <w:sz w:val="20"/>
                <w:shd w:val="clear" w:color="auto" w:fill="FFFFFF"/>
              </w:rPr>
              <w:t xml:space="preserve"> ir jų vaizdo kokybės testavimo rinkiniai</w:t>
            </w:r>
          </w:p>
        </w:tc>
        <w:tc>
          <w:tcPr>
            <w:tcW w:w="4397" w:type="dxa"/>
          </w:tcPr>
          <w:p w:rsidR="000C0C74" w:rsidRPr="001B29F9" w:rsidRDefault="000C0C74">
            <w:pPr>
              <w:pStyle w:val="Default"/>
            </w:pPr>
            <w:r w:rsidRPr="001B29F9">
              <w:t>CPO kataloge perkamų prekių šiuo metu nėra siūloma</w:t>
            </w:r>
          </w:p>
        </w:tc>
      </w:tr>
    </w:tbl>
    <w:p w:rsidR="002666C6" w:rsidRPr="000C0C74" w:rsidRDefault="002666C6"/>
    <w:sectPr w:rsidR="002666C6" w:rsidRPr="000C0C74" w:rsidSect="00FF714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decimal"/>
      <w:pStyle w:val="Antrat1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46"/>
    <w:rsid w:val="000C0C74"/>
    <w:rsid w:val="001B29F9"/>
    <w:rsid w:val="002476E0"/>
    <w:rsid w:val="002666C6"/>
    <w:rsid w:val="003162AE"/>
    <w:rsid w:val="00774FA2"/>
    <w:rsid w:val="00A141A6"/>
    <w:rsid w:val="00A86650"/>
    <w:rsid w:val="00D73EC8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41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A141A6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141A6"/>
    <w:pPr>
      <w:numPr>
        <w:ilvl w:val="1"/>
        <w:numId w:val="1"/>
      </w:numPr>
      <w:ind w:left="900"/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A141A6"/>
    <w:pPr>
      <w:keepNext/>
      <w:numPr>
        <w:ilvl w:val="2"/>
        <w:numId w:val="1"/>
      </w:numPr>
      <w:ind w:left="1014"/>
      <w:jc w:val="both"/>
      <w:outlineLvl w:val="2"/>
    </w:p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141A6"/>
    <w:pPr>
      <w:keepNext/>
      <w:numPr>
        <w:ilvl w:val="3"/>
        <w:numId w:val="1"/>
      </w:numPr>
      <w:ind w:left="720"/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A141A6"/>
    <w:pPr>
      <w:keepNext/>
      <w:numPr>
        <w:ilvl w:val="4"/>
        <w:numId w:val="1"/>
      </w:numPr>
      <w:ind w:left="720"/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A141A6"/>
    <w:pPr>
      <w:keepNext/>
      <w:numPr>
        <w:ilvl w:val="5"/>
        <w:numId w:val="1"/>
      </w:numPr>
      <w:ind w:left="720"/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A141A6"/>
    <w:pPr>
      <w:keepNext/>
      <w:numPr>
        <w:ilvl w:val="6"/>
        <w:numId w:val="1"/>
      </w:numPr>
      <w:ind w:left="720"/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A141A6"/>
    <w:pPr>
      <w:keepNext/>
      <w:numPr>
        <w:ilvl w:val="7"/>
        <w:numId w:val="1"/>
      </w:numPr>
      <w:ind w:left="720"/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A141A6"/>
    <w:pPr>
      <w:keepNext/>
      <w:numPr>
        <w:ilvl w:val="8"/>
        <w:numId w:val="1"/>
      </w:numPr>
      <w:ind w:left="720"/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F71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A141A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A141A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semiHidden/>
    <w:rsid w:val="00A141A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semiHidden/>
    <w:rsid w:val="00A141A6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semiHidden/>
    <w:rsid w:val="00A141A6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semiHidden/>
    <w:rsid w:val="00A141A6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A141A6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semiHidden/>
    <w:rsid w:val="00A141A6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semiHidden/>
    <w:rsid w:val="00A141A6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D73EC8"/>
    <w:rPr>
      <w:color w:val="0000FF"/>
      <w:u w:val="single"/>
    </w:rPr>
  </w:style>
  <w:style w:type="character" w:customStyle="1" w:styleId="SraopastraipaDiagrama">
    <w:name w:val="Sąrašo pastraipa Diagrama"/>
    <w:aliases w:val="Numbering Diagrama,Bullet EY Diagrama,List Paragraph2 Diagrama,List Paragraph Red Diagrama,lp1 Diagrama,Bullet 1 Diagrama,Use Case List Paragraph Diagrama,List Paragraph 1 Diagrama,Buletai Diagrama,List Paragraph21 Diagrama"/>
    <w:link w:val="Sraopastraipa"/>
    <w:uiPriority w:val="34"/>
    <w:locked/>
    <w:rsid w:val="001B29F9"/>
    <w:rPr>
      <w:sz w:val="24"/>
      <w:lang w:val="x-none" w:eastAsia="ar-SA"/>
    </w:rPr>
  </w:style>
  <w:style w:type="paragraph" w:styleId="Sraopastraipa">
    <w:name w:val="List Paragraph"/>
    <w:aliases w:val="Numbering,Bullet EY,List Paragraph2,List Paragraph Red,lp1,Bullet 1,Use Case List Paragraph,List Paragraph 1,Buletai,List Paragraph21,List Paragraph111,Paragraph,List not in Table"/>
    <w:basedOn w:val="prastasis"/>
    <w:link w:val="SraopastraipaDiagrama"/>
    <w:uiPriority w:val="34"/>
    <w:qFormat/>
    <w:rsid w:val="001B29F9"/>
    <w:pPr>
      <w:suppressAutoHyphens w:val="0"/>
      <w:ind w:left="720"/>
    </w:pPr>
    <w:rPr>
      <w:rFonts w:asciiTheme="minorHAnsi" w:eastAsiaTheme="minorHAnsi" w:hAnsiTheme="minorHAnsi" w:cstheme="minorBidi"/>
      <w:szCs w:val="2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41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A141A6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141A6"/>
    <w:pPr>
      <w:numPr>
        <w:ilvl w:val="1"/>
        <w:numId w:val="1"/>
      </w:numPr>
      <w:ind w:left="900"/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A141A6"/>
    <w:pPr>
      <w:keepNext/>
      <w:numPr>
        <w:ilvl w:val="2"/>
        <w:numId w:val="1"/>
      </w:numPr>
      <w:ind w:left="1014"/>
      <w:jc w:val="both"/>
      <w:outlineLvl w:val="2"/>
    </w:p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141A6"/>
    <w:pPr>
      <w:keepNext/>
      <w:numPr>
        <w:ilvl w:val="3"/>
        <w:numId w:val="1"/>
      </w:numPr>
      <w:ind w:left="720"/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A141A6"/>
    <w:pPr>
      <w:keepNext/>
      <w:numPr>
        <w:ilvl w:val="4"/>
        <w:numId w:val="1"/>
      </w:numPr>
      <w:ind w:left="720"/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A141A6"/>
    <w:pPr>
      <w:keepNext/>
      <w:numPr>
        <w:ilvl w:val="5"/>
        <w:numId w:val="1"/>
      </w:numPr>
      <w:ind w:left="720"/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A141A6"/>
    <w:pPr>
      <w:keepNext/>
      <w:numPr>
        <w:ilvl w:val="6"/>
        <w:numId w:val="1"/>
      </w:numPr>
      <w:ind w:left="720"/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A141A6"/>
    <w:pPr>
      <w:keepNext/>
      <w:numPr>
        <w:ilvl w:val="7"/>
        <w:numId w:val="1"/>
      </w:numPr>
      <w:ind w:left="720"/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A141A6"/>
    <w:pPr>
      <w:keepNext/>
      <w:numPr>
        <w:ilvl w:val="8"/>
        <w:numId w:val="1"/>
      </w:numPr>
      <w:ind w:left="720"/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F71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A141A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A141A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semiHidden/>
    <w:rsid w:val="00A141A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semiHidden/>
    <w:rsid w:val="00A141A6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semiHidden/>
    <w:rsid w:val="00A141A6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semiHidden/>
    <w:rsid w:val="00A141A6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A141A6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semiHidden/>
    <w:rsid w:val="00A141A6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semiHidden/>
    <w:rsid w:val="00A141A6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D73EC8"/>
    <w:rPr>
      <w:color w:val="0000FF"/>
      <w:u w:val="single"/>
    </w:rPr>
  </w:style>
  <w:style w:type="character" w:customStyle="1" w:styleId="SraopastraipaDiagrama">
    <w:name w:val="Sąrašo pastraipa Diagrama"/>
    <w:aliases w:val="Numbering Diagrama,Bullet EY Diagrama,List Paragraph2 Diagrama,List Paragraph Red Diagrama,lp1 Diagrama,Bullet 1 Diagrama,Use Case List Paragraph Diagrama,List Paragraph 1 Diagrama,Buletai Diagrama,List Paragraph21 Diagrama"/>
    <w:link w:val="Sraopastraipa"/>
    <w:uiPriority w:val="34"/>
    <w:locked/>
    <w:rsid w:val="001B29F9"/>
    <w:rPr>
      <w:sz w:val="24"/>
      <w:lang w:val="x-none" w:eastAsia="ar-SA"/>
    </w:rPr>
  </w:style>
  <w:style w:type="paragraph" w:styleId="Sraopastraipa">
    <w:name w:val="List Paragraph"/>
    <w:aliases w:val="Numbering,Bullet EY,List Paragraph2,List Paragraph Red,lp1,Bullet 1,Use Case List Paragraph,List Paragraph 1,Buletai,List Paragraph21,List Paragraph111,Paragraph,List not in Table"/>
    <w:basedOn w:val="prastasis"/>
    <w:link w:val="SraopastraipaDiagrama"/>
    <w:uiPriority w:val="34"/>
    <w:qFormat/>
    <w:rsid w:val="001B29F9"/>
    <w:pPr>
      <w:suppressAutoHyphens w:val="0"/>
      <w:ind w:left="720"/>
    </w:pPr>
    <w:rPr>
      <w:rFonts w:asciiTheme="minorHAnsi" w:eastAsiaTheme="minorHAnsi" w:hAnsiTheme="minorHAnsi" w:cstheme="minorBidi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rkimai.eviesiejipirkimai.lt/app/rfq/edittransaction.asp?TID=4749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Slažienė</dc:creator>
  <cp:lastModifiedBy>Rasa Slažienė</cp:lastModifiedBy>
  <cp:revision>6</cp:revision>
  <dcterms:created xsi:type="dcterms:W3CDTF">2021-05-13T13:07:00Z</dcterms:created>
  <dcterms:modified xsi:type="dcterms:W3CDTF">2021-05-14T08:41:00Z</dcterms:modified>
</cp:coreProperties>
</file>